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both"/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3465a4"/>
          <w:spacing w:val="0"/>
          <w:sz w:val="28"/>
          <w:szCs w:val="28"/>
        </w:rPr>
        <w:t xml:space="preserve">Условия предоставления 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3465a4"/>
          <w:spacing w:val="0"/>
          <w:sz w:val="28"/>
          <w:szCs w:val="28"/>
        </w:rPr>
        <w:t xml:space="preserve">компенсации части стоимости путевки в организации отдыха детей и их оздоровления</w:t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</w:p>
    <w:p>
      <w:pPr>
        <w:pStyle w:val="617"/>
        <w:jc w:val="both"/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pP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940425" cy="3985260"/>
                <wp:effectExtent l="0" t="0" r="0" b="0"/>
                <wp:wrapSquare wrapText="bothSides"/>
                <wp:docPr id="1" name="Изображение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940425" cy="3985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text;mso-position-horizontal:center;mso-position-vertical-relative:text;margin-top:0.05pt;mso-position-vertical:absolute;width:467.75pt;height:313.80pt;mso-wrap-distance-left:0.00pt;mso-wrap-distance-top:0.00pt;mso-wrap-distance-right:0.00pt;mso-wrap-distance-bottom:0.00pt;" stroked="false">
                <v:path textboxrect="0,0,0,0"/>
                <w10:wrap type="square"/>
                <v:imagedata r:id="rId8" o:title=""/>
              </v:shape>
            </w:pict>
          </mc:Fallback>
        </mc:AlternateContent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</w:p>
    <w:p>
      <w:pPr>
        <w:pStyle w:val="617"/>
        <w:jc w:val="center"/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single"/>
        </w:rPr>
        <w:t xml:space="preserve">Условия предоставления услуги</w:t>
      </w:r>
      <w:r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r>
    </w:p>
    <w:p>
      <w:pPr>
        <w:pStyle w:val="617"/>
        <w:jc w:val="both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ab/>
        <w:t xml:space="preserve">Компенсация предоставляется при условии, что ребенок, для отдыха и оздоровления котор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ого приобретена путёвка, не обеспечивался полностью или частично за счет средств областного бюджета путёвкой в организации, обеспечивающие отдых детей и их оздоровление, в течение календарного года, в котором последовало обращение родителя за компенсацией.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617"/>
        <w:jc w:val="both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ab/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Компенсация предоставляется заявителю при условии, что среднедушевой доход семьи ниже двукратной величины прожиточного минимума, установленного в целом по Иркутской области в расчете на душу населения.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617"/>
        <w:jc w:val="both"/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ab/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Компенсация предоставляется не более одного раза в год в пределах средств областного бюджета, предусмотренных в законе Иркутской области об областном бюджете на соответствующий финансовый год и плановый период.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/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jc w:val="both"/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u w:val="none"/>
        </w:rPr>
      </w:r>
    </w:p>
    <w:p>
      <w:pPr>
        <w:jc w:val="both"/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617"/>
        <w:jc w:val="center"/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single"/>
        </w:rPr>
        <w:t xml:space="preserve">Круг заявителей</w:t>
      </w:r>
      <w:r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r>
    </w:p>
    <w:p>
      <w:pPr>
        <w:pStyle w:val="617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Компенсация части стоимости путевки предоставляется в форме социальной выплаты одному из родителей, либо законному представителю ребенка, приобретшему за счет собственных средств для ребенка путевку.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617"/>
        <w:ind w:left="0" w:firstLine="0"/>
        <w:jc w:val="center"/>
        <w:spacing w:before="0" w:after="143"/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single"/>
        </w:rPr>
        <w:t xml:space="preserve">Перечень необходимых документов</w:t>
      </w:r>
      <w:r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r>
    </w:p>
    <w:p>
      <w:pPr>
        <w:pStyle w:val="617"/>
        <w:ind w:left="0" w:firstLine="0"/>
        <w:jc w:val="both"/>
        <w:spacing w:before="0" w:after="143"/>
        <w:rPr>
          <w:b w:val="0"/>
          <w:bCs w:val="0"/>
          <w:color w:val="000000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Пакет документов предоставляется в два этапа:</w:t>
      </w:r>
      <w:r>
        <w:rPr>
          <w:b w:val="0"/>
          <w:bCs w:val="0"/>
          <w:color w:val="000000"/>
        </w:rPr>
      </w:r>
    </w:p>
    <w:p>
      <w:pPr>
        <w:pStyle w:val="617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olor w:val="3465a4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На первом этапе 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в срок не позднее одного месяца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со дня приобретения путёвки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родитель (заявитель)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обращается в О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ГБ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У «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УСЗСОН по Иркутскому муниципальному округу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» с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3465a4"/>
          <w:spacing w:val="0"/>
          <w:sz w:val="28"/>
          <w:szCs w:val="28"/>
          <w:u w:val="none"/>
        </w:rPr>
        <w:t xml:space="preserve">заявлением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.</w:t>
      </w:r>
      <w:r>
        <w:rPr>
          <w:rFonts w:ascii="Liberation Serif" w:hAnsi="Liberation Serif"/>
          <w:b w:val="0"/>
          <w:bCs w:val="0"/>
          <w:i w:val="0"/>
          <w:iCs w:val="0"/>
          <w:color w:val="3465a4"/>
          <w:sz w:val="28"/>
          <w:szCs w:val="28"/>
          <w:u w:val="none"/>
        </w:rPr>
      </w:r>
    </w:p>
    <w:p>
      <w:pPr>
        <w:pStyle w:val="617"/>
        <w:ind w:left="0" w:firstLine="0"/>
        <w:jc w:val="both"/>
        <w:spacing w:before="0" w:after="143"/>
        <w:rPr>
          <w:color w:val="000000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К заявлению прилагаются следующие документы:</w:t>
      </w:r>
      <w:r>
        <w:rPr>
          <w:color w:val="000000"/>
        </w:rPr>
      </w:r>
    </w:p>
    <w:p>
      <w:pPr>
        <w:pStyle w:val="617"/>
        <w:ind w:left="0" w:firstLine="0"/>
        <w:jc w:val="both"/>
        <w:spacing w:before="0" w:after="143"/>
        <w:rPr>
          <w:color w:val="000000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1.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Документ, удостоверяющий личность заявителя;</w:t>
      </w:r>
      <w:r>
        <w:rPr>
          <w:color w:val="000000"/>
        </w:rPr>
      </w:r>
    </w:p>
    <w:p>
      <w:pPr>
        <w:pStyle w:val="617"/>
        <w:ind w:left="0" w:firstLine="0"/>
        <w:jc w:val="both"/>
        <w:spacing w:before="0" w:after="143"/>
        <w:rPr>
          <w:color w:val="000000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2.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Свидетельство о рождении ребенка, либо паспорт (в случае достижения им 14-летнего возраста);</w:t>
      </w:r>
      <w:r>
        <w:rPr>
          <w:color w:val="000000"/>
        </w:rPr>
      </w:r>
    </w:p>
    <w:p>
      <w:pPr>
        <w:pStyle w:val="617"/>
        <w:ind w:left="0" w:firstLine="0"/>
        <w:jc w:val="both"/>
        <w:spacing w:before="0" w:after="143"/>
        <w:rPr>
          <w:color w:val="000000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3.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Копия путёвки в организацию, обеспечивающую отдых и оздоровление детей;</w:t>
      </w:r>
      <w:r>
        <w:rPr>
          <w:color w:val="000000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617"/>
        <w:ind w:left="0" w:firstLine="0"/>
        <w:jc w:val="both"/>
        <w:spacing w:before="0" w:after="143"/>
        <w:rPr>
          <w:color w:val="000000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4.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Документы, подтверждающие доход заявителя и членов его семьи за три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последних календарных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месяца, предшествующих месяцу обращения в уполномоченное учреждение:</w:t>
      </w:r>
      <w:r>
        <w:rPr>
          <w:color w:val="000000"/>
        </w:rPr>
      </w:r>
    </w:p>
    <w:p>
      <w:pPr>
        <w:pStyle w:val="617"/>
        <w:ind w:left="0" w:firstLine="0"/>
        <w:jc w:val="both"/>
        <w:spacing w:before="0" w:after="143"/>
        <w:rPr>
          <w:color w:val="000000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-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справка о заработной плате с места работы (основной, по совместительству);</w:t>
      </w:r>
      <w:r>
        <w:rPr>
          <w:color w:val="000000"/>
        </w:rPr>
      </w:r>
    </w:p>
    <w:p>
      <w:pPr>
        <w:pStyle w:val="617"/>
        <w:ind w:left="0" w:firstLine="0"/>
        <w:jc w:val="both"/>
        <w:spacing w:before="0" w:after="143"/>
        <w:rPr>
          <w:color w:val="000000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- справка о пособиях, пенсиях,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других видах доходов,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документ о признании гражданина безработным и размере получаемого им пособия по безработице – для безработных граждан;</w:t>
      </w:r>
      <w:r>
        <w:rPr>
          <w:color w:val="000000"/>
        </w:rPr>
      </w:r>
    </w:p>
    <w:p>
      <w:pPr>
        <w:pStyle w:val="617"/>
        <w:ind w:left="0" w:firstLine="0"/>
        <w:jc w:val="both"/>
        <w:spacing w:before="0" w:after="143"/>
        <w:rPr>
          <w:color w:val="000000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На втором этапе 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в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срок не позднее одного месяца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со дня окончания пребывания ребенка в организации, обеспечивающей отдых и оздоровление детей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, заявитель предоставляет:</w:t>
      </w:r>
      <w:r>
        <w:rPr>
          <w:color w:val="000000"/>
        </w:rPr>
      </w:r>
    </w:p>
    <w:p>
      <w:pPr>
        <w:pStyle w:val="617"/>
        <w:ind w:left="0" w:firstLine="0"/>
        <w:jc w:val="both"/>
        <w:spacing w:before="0" w:after="143"/>
        <w:rPr>
          <w:color w:val="000000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1.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Оригинал обратного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(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отрывного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)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талона к путевке в организаци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ю, обеспечивающую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отдых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и оздоровление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детей;</w:t>
      </w:r>
      <w:r>
        <w:rPr>
          <w:color w:val="000000"/>
        </w:rPr>
      </w:r>
    </w:p>
    <w:p>
      <w:pPr>
        <w:pStyle w:val="617"/>
        <w:ind w:left="0" w:firstLine="0"/>
        <w:jc w:val="both"/>
        <w:spacing w:before="0" w:after="143"/>
        <w:rPr>
          <w:color w:val="000000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2.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Оригиналы документов, подтверждающих факт оплаты стоимости путевки (платёжное поручение либо приходный кассовый ордер и кассовый чек);</w:t>
      </w:r>
      <w:r>
        <w:rPr>
          <w:color w:val="000000"/>
        </w:rPr>
      </w:r>
    </w:p>
    <w:p>
      <w:pPr>
        <w:pStyle w:val="617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3.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Справку с места работы заявителя о том, что заявитель не получал путевк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у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в организаци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ю, обеспечивающую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отдых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и оздоровление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детей, в текущем году или о сумме частичной компенсации работодателем стоимости приобретенной путевки в организаци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ю, обеспечивающую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отдых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и оздоровление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детей.</w:t>
      </w:r>
      <w:r>
        <w:rPr>
          <w:color w:val="000000"/>
        </w:rPr>
      </w:r>
    </w:p>
    <w:p>
      <w:pPr>
        <w:ind w:left="0" w:firstLine="0"/>
        <w:jc w:val="both"/>
        <w:spacing w:before="0" w:after="143"/>
        <w:rPr>
          <w:color w:val="000000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Все документы должны иметь печати и подписи уполномоченных должностных лиц.</w:t>
      </w:r>
      <w:r>
        <w:rPr>
          <w:color w:val="000000"/>
        </w:rPr>
      </w:r>
      <w:r/>
    </w:p>
    <w:p>
      <w:pPr>
        <w:pStyle w:val="617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spacing w:val="0"/>
          <w:sz w:val="28"/>
          <w:szCs w:val="28"/>
          <w:u w:val="none"/>
        </w:rPr>
      </w:pPr>
      <w:r>
        <w:rPr>
          <w:color w:val="000000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spacing w:val="0"/>
          <w:sz w:val="28"/>
          <w:szCs w:val="28"/>
          <w:u w:val="none"/>
        </w:rPr>
      </w:r>
    </w:p>
    <w:p>
      <w:pPr>
        <w:pStyle w:val="617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spacing w:val="0"/>
          <w:sz w:val="28"/>
          <w:szCs w:val="28"/>
          <w:u w:val="none"/>
        </w:rPr>
      </w:pPr>
      <w:r>
        <w:rPr>
          <w:caps w:val="0"/>
          <w:smallCaps w:val="0"/>
          <w:spacing w:val="0"/>
          <w:sz w:val="28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spacing w:val="0"/>
          <w:sz w:val="28"/>
          <w:szCs w:val="28"/>
          <w:u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4030504040204"/>
  </w:font>
  <w:font w:name="Noto Sans Devanagari">
    <w:panose1 w:val="020B0502040504020204"/>
  </w:font>
  <w:font w:name="OpenSymbol">
    <w:panose1 w:val="05010000000000000000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character" w:styleId="47">
    <w:name w:val="Caption Char"/>
    <w:basedOn w:val="624"/>
    <w:link w:val="44"/>
    <w:uiPriority w:val="99"/>
  </w:style>
  <w:style w:type="table" w:styleId="48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18">
    <w:name w:val="Strong"/>
    <w:qFormat/>
    <w:rPr>
      <w:b/>
      <w:bCs/>
    </w:rPr>
  </w:style>
  <w:style w:type="character" w:styleId="619">
    <w:name w:val="Emphasis"/>
    <w:qFormat/>
    <w:rPr>
      <w:i/>
      <w:iCs/>
    </w:rPr>
  </w:style>
  <w:style w:type="character" w:styleId="620">
    <w:name w:val="Маркеры"/>
    <w:qFormat/>
    <w:rPr>
      <w:rFonts w:ascii="OpenSymbol" w:hAnsi="OpenSymbol" w:eastAsia="OpenSymbol" w:cs="OpenSymbol"/>
    </w:rPr>
  </w:style>
  <w:style w:type="paragraph" w:styleId="621">
    <w:name w:val="Заголовок"/>
    <w:basedOn w:val="617"/>
    <w:next w:val="622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22">
    <w:name w:val="Body Text"/>
    <w:basedOn w:val="617"/>
    <w:pPr>
      <w:spacing w:before="0" w:after="140" w:line="276" w:lineRule="auto"/>
    </w:pPr>
  </w:style>
  <w:style w:type="paragraph" w:styleId="623">
    <w:name w:val="List"/>
    <w:basedOn w:val="622"/>
    <w:rPr>
      <w:rFonts w:ascii="PT Astra Serif" w:hAnsi="PT Astra Serif" w:cs="Noto Sans Devanagari"/>
    </w:rPr>
  </w:style>
  <w:style w:type="paragraph" w:styleId="624">
    <w:name w:val="Caption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25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26">
    <w:name w:val="No Spacing"/>
    <w:basedOn w:val="617"/>
    <w:uiPriority w:val="1"/>
    <w:qFormat/>
    <w:pPr>
      <w:spacing w:before="0" w:after="0" w:line="240" w:lineRule="auto"/>
    </w:pPr>
  </w:style>
  <w:style w:type="paragraph" w:styleId="627">
    <w:name w:val="List Paragraph"/>
    <w:basedOn w:val="617"/>
    <w:uiPriority w:val="34"/>
    <w:qFormat/>
    <w:pPr>
      <w:contextualSpacing/>
      <w:ind w:left="720"/>
      <w:spacing w:before="0" w:after="200"/>
    </w:pPr>
  </w:style>
  <w:style w:type="numbering" w:styleId="628" w:default="1">
    <w:name w:val="No List"/>
    <w:uiPriority w:val="99"/>
    <w:semiHidden/>
    <w:unhideWhenUsed/>
    <w:qFormat/>
  </w:style>
  <w:style w:type="table" w:styleId="62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0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4</cp:revision>
  <dcterms:modified xsi:type="dcterms:W3CDTF">2025-09-17T02:57:07Z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